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78" w:type="dxa"/>
        <w:jc w:val="center"/>
        <w:tblInd w:w="-15" w:type="dxa"/>
        <w:tblLayout w:type="fixed"/>
        <w:tblCellMar>
          <w:top w:w="0" w:type="dxa"/>
          <w:left w:w="0" w:type="dxa"/>
          <w:bottom w:w="0" w:type="dxa"/>
          <w:right w:w="0" w:type="dxa"/>
        </w:tblCellMar>
      </w:tblPr>
      <w:tblGrid>
        <w:gridCol w:w="720"/>
        <w:gridCol w:w="760"/>
        <w:gridCol w:w="720"/>
        <w:gridCol w:w="837"/>
        <w:gridCol w:w="623"/>
        <w:gridCol w:w="760"/>
        <w:gridCol w:w="720"/>
        <w:gridCol w:w="700"/>
        <w:gridCol w:w="794"/>
        <w:gridCol w:w="1684"/>
        <w:gridCol w:w="815"/>
        <w:gridCol w:w="1345"/>
      </w:tblGrid>
      <w:tr>
        <w:tblPrEx>
          <w:tblLayout w:type="fixed"/>
          <w:tblCellMar>
            <w:top w:w="0" w:type="dxa"/>
            <w:left w:w="0" w:type="dxa"/>
            <w:bottom w:w="0" w:type="dxa"/>
            <w:right w:w="0" w:type="dxa"/>
          </w:tblCellMar>
        </w:tblPrEx>
        <w:trPr>
          <w:jc w:val="center"/>
          <w:hidden/>
        </w:trPr>
        <w:tc>
          <w:tcPr>
            <w:tcW w:w="720" w:type="dxa"/>
            <w:vAlign w:val="center"/>
          </w:tcPr>
          <w:p>
            <w:pPr>
              <w:rPr>
                <w:vanish/>
              </w:rPr>
            </w:pPr>
            <w:bookmarkStart w:id="0" w:name="_GoBack"/>
            <w:bookmarkEnd w:id="0"/>
          </w:p>
        </w:tc>
        <w:tc>
          <w:tcPr>
            <w:tcW w:w="760" w:type="dxa"/>
            <w:vAlign w:val="center"/>
          </w:tcPr>
          <w:p>
            <w:pPr>
              <w:rPr>
                <w:vanish/>
              </w:rPr>
            </w:pPr>
          </w:p>
        </w:tc>
        <w:tc>
          <w:tcPr>
            <w:tcW w:w="720" w:type="dxa"/>
            <w:vAlign w:val="center"/>
          </w:tcPr>
          <w:p>
            <w:pPr>
              <w:rPr>
                <w:vanish/>
              </w:rPr>
            </w:pPr>
          </w:p>
        </w:tc>
        <w:tc>
          <w:tcPr>
            <w:tcW w:w="837" w:type="dxa"/>
            <w:vAlign w:val="center"/>
          </w:tcPr>
          <w:p>
            <w:pPr>
              <w:rPr>
                <w:vanish/>
              </w:rPr>
            </w:pPr>
          </w:p>
        </w:tc>
        <w:tc>
          <w:tcPr>
            <w:tcW w:w="623" w:type="dxa"/>
            <w:vAlign w:val="center"/>
          </w:tcPr>
          <w:p>
            <w:pPr>
              <w:rPr>
                <w:vanish/>
              </w:rPr>
            </w:pPr>
          </w:p>
        </w:tc>
        <w:tc>
          <w:tcPr>
            <w:tcW w:w="760" w:type="dxa"/>
            <w:vAlign w:val="center"/>
          </w:tcPr>
          <w:p>
            <w:pPr>
              <w:rPr>
                <w:vanish/>
              </w:rPr>
            </w:pPr>
          </w:p>
        </w:tc>
        <w:tc>
          <w:tcPr>
            <w:tcW w:w="720" w:type="dxa"/>
            <w:vAlign w:val="center"/>
          </w:tcPr>
          <w:p>
            <w:pPr>
              <w:rPr>
                <w:vanish/>
              </w:rPr>
            </w:pPr>
          </w:p>
        </w:tc>
        <w:tc>
          <w:tcPr>
            <w:tcW w:w="700" w:type="dxa"/>
            <w:vAlign w:val="center"/>
          </w:tcPr>
          <w:p>
            <w:pPr>
              <w:rPr>
                <w:vanish/>
              </w:rPr>
            </w:pPr>
          </w:p>
        </w:tc>
        <w:tc>
          <w:tcPr>
            <w:tcW w:w="794" w:type="dxa"/>
            <w:vAlign w:val="center"/>
          </w:tcPr>
          <w:p>
            <w:pPr>
              <w:rPr>
                <w:vanish/>
              </w:rPr>
            </w:pPr>
          </w:p>
        </w:tc>
        <w:tc>
          <w:tcPr>
            <w:tcW w:w="1684" w:type="dxa"/>
            <w:vAlign w:val="center"/>
          </w:tcPr>
          <w:p>
            <w:pPr>
              <w:rPr>
                <w:vanish/>
              </w:rPr>
            </w:pPr>
          </w:p>
        </w:tc>
        <w:tc>
          <w:tcPr>
            <w:tcW w:w="815" w:type="dxa"/>
            <w:vAlign w:val="center"/>
          </w:tcPr>
          <w:p>
            <w:pPr>
              <w:rPr>
                <w:vanish/>
              </w:rPr>
            </w:pPr>
          </w:p>
        </w:tc>
        <w:tc>
          <w:tcPr>
            <w:tcW w:w="1345" w:type="dxa"/>
            <w:vAlign w:val="center"/>
          </w:tcPr>
          <w:p>
            <w:pPr>
              <w:rPr>
                <w:vanish/>
              </w:rPr>
            </w:pPr>
          </w:p>
        </w:tc>
      </w:tr>
    </w:tbl>
    <w:p>
      <w:pPr>
        <w:adjustRightInd w:val="0"/>
        <w:snapToGrid w:val="0"/>
        <w:spacing w:line="320" w:lineRule="exact"/>
        <w:contextualSpacing/>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      附件2  </w:t>
      </w:r>
    </w:p>
    <w:p>
      <w:pPr>
        <w:adjustRightInd w:val="0"/>
        <w:snapToGrid w:val="0"/>
        <w:spacing w:line="320" w:lineRule="exact"/>
        <w:contextualSpacing/>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学院简介</w:t>
      </w:r>
    </w:p>
    <w:p>
      <w:pPr>
        <w:bidi w:val="0"/>
        <w:rPr>
          <w:rFonts w:hint="default" w:asciiTheme="minorHAnsi" w:hAnsiTheme="minorHAnsi" w:eastAsiaTheme="minorEastAsia" w:cstheme="minorBidi"/>
          <w:kern w:val="2"/>
          <w:sz w:val="21"/>
          <w:szCs w:val="24"/>
          <w:lang w:val="en-US" w:eastAsia="zh-CN" w:bidi="ar-SA"/>
        </w:rPr>
      </w:pPr>
    </w:p>
    <w:p>
      <w:pPr>
        <w:widowControl/>
        <w:shd w:val="clear" w:color="auto" w:fill="FFFFFF"/>
        <w:spacing w:line="560" w:lineRule="exact"/>
        <w:ind w:firstLine="480"/>
        <w:rPr>
          <w:rFonts w:ascii="仿宋" w:hAnsi="仿宋" w:eastAsia="仿宋" w:cs="宋体"/>
          <w:color w:val="333333"/>
          <w:kern w:val="0"/>
          <w:sz w:val="30"/>
          <w:szCs w:val="30"/>
        </w:rPr>
      </w:pPr>
      <w:r>
        <w:rPr>
          <w:rFonts w:hint="eastAsia" w:ascii="仿宋" w:hAnsi="仿宋" w:eastAsia="仿宋" w:cs="宋体"/>
          <w:color w:val="333333"/>
          <w:kern w:val="0"/>
          <w:sz w:val="30"/>
          <w:szCs w:val="30"/>
        </w:rPr>
        <w:t>上海财经大学浙江学院由金华市浙中教育集团与上海财经大学合作举办，是一所按新机制和新模式运作、具有独立法人资格的全日制本科独立学院。2008年5月经国家教育部批准成立。</w:t>
      </w:r>
    </w:p>
    <w:p>
      <w:pPr>
        <w:widowControl/>
        <w:shd w:val="clear" w:color="auto" w:fill="FFFFFF"/>
        <w:spacing w:line="560" w:lineRule="exact"/>
        <w:ind w:firstLine="480"/>
        <w:rPr>
          <w:rFonts w:ascii="仿宋" w:hAnsi="仿宋" w:eastAsia="仿宋" w:cs="宋体"/>
          <w:color w:val="333333"/>
          <w:kern w:val="0"/>
          <w:sz w:val="30"/>
          <w:szCs w:val="30"/>
        </w:rPr>
      </w:pPr>
      <w:r>
        <w:rPr>
          <w:rFonts w:hint="eastAsia" w:ascii="仿宋" w:hAnsi="仿宋" w:eastAsia="仿宋" w:cs="宋体"/>
          <w:color w:val="333333"/>
          <w:kern w:val="0"/>
          <w:sz w:val="30"/>
          <w:szCs w:val="30"/>
        </w:rPr>
        <w:t>学院坐落在著名的国家历史文化名城、全国电子商务之城金华，规划占地面积1005亩。现有在校本科生</w:t>
      </w:r>
      <w:r>
        <w:rPr>
          <w:rFonts w:hint="eastAsia" w:ascii="仿宋" w:hAnsi="仿宋" w:eastAsia="仿宋" w:cs="宋体"/>
          <w:color w:val="333333"/>
          <w:kern w:val="0"/>
          <w:sz w:val="30"/>
          <w:szCs w:val="30"/>
          <w:lang w:val="en-US" w:eastAsia="zh-CN"/>
        </w:rPr>
        <w:t>6800</w:t>
      </w:r>
      <w:r>
        <w:rPr>
          <w:rFonts w:hint="eastAsia" w:ascii="仿宋" w:hAnsi="仿宋" w:eastAsia="仿宋" w:cs="宋体"/>
          <w:color w:val="333333"/>
          <w:kern w:val="0"/>
          <w:sz w:val="30"/>
          <w:szCs w:val="30"/>
        </w:rPr>
        <w:t>余人，生源覆盖全国2</w:t>
      </w:r>
      <w:r>
        <w:rPr>
          <w:rFonts w:hint="eastAsia" w:ascii="仿宋" w:hAnsi="仿宋" w:eastAsia="仿宋" w:cs="宋体"/>
          <w:color w:val="333333"/>
          <w:kern w:val="0"/>
          <w:sz w:val="30"/>
          <w:szCs w:val="30"/>
          <w:lang w:val="en-US" w:eastAsia="zh-CN"/>
        </w:rPr>
        <w:t>4</w:t>
      </w:r>
      <w:r>
        <w:rPr>
          <w:rFonts w:hint="eastAsia" w:ascii="仿宋" w:hAnsi="仿宋" w:eastAsia="仿宋" w:cs="宋体"/>
          <w:color w:val="333333"/>
          <w:kern w:val="0"/>
          <w:sz w:val="30"/>
          <w:szCs w:val="30"/>
        </w:rPr>
        <w:t>个省、市、自治区。</w:t>
      </w:r>
    </w:p>
    <w:p>
      <w:pPr>
        <w:widowControl/>
        <w:shd w:val="clear" w:color="auto" w:fill="FFFFFF"/>
        <w:spacing w:line="560" w:lineRule="exact"/>
        <w:ind w:firstLine="480"/>
        <w:rPr>
          <w:rFonts w:ascii="仿宋" w:hAnsi="仿宋" w:eastAsia="仿宋" w:cs="宋体"/>
          <w:color w:val="333333"/>
          <w:kern w:val="0"/>
          <w:sz w:val="30"/>
          <w:szCs w:val="30"/>
        </w:rPr>
      </w:pPr>
      <w:r>
        <w:rPr>
          <w:rFonts w:hint="eastAsia" w:ascii="仿宋" w:hAnsi="仿宋" w:eastAsia="仿宋" w:cs="宋体"/>
          <w:color w:val="333333"/>
          <w:kern w:val="0"/>
          <w:sz w:val="30"/>
          <w:szCs w:val="30"/>
        </w:rPr>
        <w:t>学院现有教职员工288人，具有副高以上职称100人，硕士及以上学历238人，另有来自中科院、国家发改委、浙江大学、复旦大学、厦门大学等外聘教授57人，逐步形成了一支数量充足、结构合理、爱岗敬业、素质优良的师资队伍。</w:t>
      </w:r>
    </w:p>
    <w:p>
      <w:pPr>
        <w:widowControl/>
        <w:shd w:val="clear" w:color="auto" w:fill="FFFFFF"/>
        <w:spacing w:line="560" w:lineRule="exact"/>
        <w:ind w:firstLine="480"/>
        <w:rPr>
          <w:rFonts w:ascii="仿宋" w:hAnsi="仿宋" w:eastAsia="仿宋" w:cs="宋体"/>
          <w:color w:val="333333"/>
          <w:kern w:val="0"/>
          <w:sz w:val="30"/>
          <w:szCs w:val="30"/>
        </w:rPr>
      </w:pPr>
      <w:r>
        <w:rPr>
          <w:rFonts w:hint="eastAsia" w:ascii="仿宋" w:hAnsi="仿宋" w:eastAsia="仿宋" w:cs="宋体"/>
          <w:color w:val="333333"/>
          <w:kern w:val="0"/>
          <w:sz w:val="30"/>
          <w:szCs w:val="30"/>
        </w:rPr>
        <w:t>学院设有会计学、财务管理、经济学、金融学、投资学、保险学、应用统计学、工商管理、物流管理、人力资源管理、市场营销、国际经济与贸易、国际商务、电子商务、商务英语、会展经济与管理等22个本科专业、6个专业方向，初步形成了以财经类专业为主，经、管、文、理、工等学科协调发展的良好态势，学院综合实力和办学水平逐年提高。</w:t>
      </w:r>
    </w:p>
    <w:p>
      <w:pPr>
        <w:widowControl/>
        <w:shd w:val="clear" w:color="auto" w:fill="FFFFFF"/>
        <w:spacing w:line="560" w:lineRule="exact"/>
        <w:ind w:firstLine="480"/>
        <w:rPr>
          <w:rFonts w:hint="eastAsia" w:ascii="仿宋" w:hAnsi="仿宋" w:eastAsia="仿宋"/>
          <w:color w:val="000000"/>
          <w:sz w:val="30"/>
          <w:szCs w:val="30"/>
          <w:lang w:eastAsia="zh-CN"/>
        </w:rPr>
      </w:pPr>
      <w:r>
        <w:rPr>
          <w:rFonts w:ascii="仿宋" w:hAnsi="仿宋" w:eastAsia="仿宋"/>
          <w:color w:val="000000"/>
          <w:sz w:val="30"/>
          <w:szCs w:val="30"/>
        </w:rPr>
        <w:t>201</w:t>
      </w:r>
      <w:r>
        <w:rPr>
          <w:rFonts w:hint="eastAsia" w:ascii="仿宋" w:hAnsi="仿宋" w:eastAsia="仿宋"/>
          <w:color w:val="000000"/>
          <w:sz w:val="30"/>
          <w:szCs w:val="30"/>
          <w:lang w:val="en-US" w:eastAsia="zh-CN"/>
        </w:rPr>
        <w:t>9</w:t>
      </w:r>
      <w:r>
        <w:rPr>
          <w:rFonts w:hint="eastAsia" w:ascii="仿宋" w:hAnsi="仿宋" w:eastAsia="仿宋"/>
          <w:color w:val="000000"/>
          <w:sz w:val="30"/>
          <w:szCs w:val="30"/>
        </w:rPr>
        <w:t>年</w:t>
      </w:r>
      <w:r>
        <w:rPr>
          <w:rFonts w:ascii="仿宋" w:hAnsi="仿宋" w:eastAsia="仿宋"/>
          <w:color w:val="000000"/>
          <w:sz w:val="30"/>
          <w:szCs w:val="30"/>
        </w:rPr>
        <w:t>我院招生计划总数</w:t>
      </w:r>
      <w:r>
        <w:rPr>
          <w:rFonts w:hint="eastAsia" w:ascii="仿宋" w:hAnsi="仿宋" w:eastAsia="仿宋"/>
          <w:color w:val="000000"/>
          <w:sz w:val="30"/>
          <w:szCs w:val="30"/>
        </w:rPr>
        <w:t>2</w:t>
      </w:r>
      <w:r>
        <w:rPr>
          <w:rFonts w:hint="eastAsia" w:ascii="仿宋" w:hAnsi="仿宋" w:eastAsia="仿宋"/>
          <w:color w:val="000000"/>
          <w:sz w:val="30"/>
          <w:szCs w:val="30"/>
          <w:lang w:val="en-US" w:eastAsia="zh-CN"/>
        </w:rPr>
        <w:t>320</w:t>
      </w:r>
      <w:r>
        <w:rPr>
          <w:rFonts w:hint="eastAsia" w:ascii="仿宋" w:hAnsi="仿宋" w:eastAsia="仿宋"/>
          <w:color w:val="000000"/>
          <w:sz w:val="30"/>
          <w:szCs w:val="30"/>
        </w:rPr>
        <w:t>人（较去年增加</w:t>
      </w:r>
      <w:r>
        <w:rPr>
          <w:rFonts w:hint="eastAsia" w:ascii="仿宋" w:hAnsi="仿宋" w:eastAsia="仿宋"/>
          <w:color w:val="000000"/>
          <w:sz w:val="30"/>
          <w:szCs w:val="30"/>
          <w:lang w:val="en-US" w:eastAsia="zh-CN"/>
        </w:rPr>
        <w:t>258</w:t>
      </w:r>
      <w:r>
        <w:rPr>
          <w:rFonts w:hint="eastAsia" w:ascii="仿宋" w:hAnsi="仿宋" w:eastAsia="仿宋"/>
          <w:color w:val="000000"/>
          <w:sz w:val="30"/>
          <w:szCs w:val="30"/>
        </w:rPr>
        <w:t>人）</w:t>
      </w:r>
      <w:r>
        <w:rPr>
          <w:rFonts w:ascii="仿宋" w:hAnsi="仿宋" w:eastAsia="仿宋"/>
          <w:color w:val="000000"/>
          <w:sz w:val="30"/>
          <w:szCs w:val="30"/>
        </w:rPr>
        <w:t>，其中专升本计划</w:t>
      </w: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86人</w:t>
      </w:r>
      <w:r>
        <w:rPr>
          <w:rFonts w:hint="eastAsia" w:ascii="仿宋" w:hAnsi="仿宋" w:eastAsia="仿宋"/>
          <w:color w:val="000000"/>
          <w:sz w:val="30"/>
          <w:szCs w:val="30"/>
          <w:lang w:eastAsia="zh-CN"/>
        </w:rPr>
        <w:t>（较去年增加</w:t>
      </w:r>
      <w:r>
        <w:rPr>
          <w:rFonts w:hint="eastAsia" w:ascii="仿宋" w:hAnsi="仿宋" w:eastAsia="仿宋"/>
          <w:color w:val="000000"/>
          <w:sz w:val="30"/>
          <w:szCs w:val="30"/>
          <w:lang w:val="en-US" w:eastAsia="zh-CN"/>
        </w:rPr>
        <w:t>3</w:t>
      </w:r>
      <w:r>
        <w:rPr>
          <w:rFonts w:hint="eastAsia" w:ascii="仿宋" w:hAnsi="仿宋" w:eastAsia="仿宋"/>
          <w:color w:val="000000"/>
          <w:sz w:val="30"/>
          <w:szCs w:val="30"/>
          <w:lang w:eastAsia="zh-CN"/>
        </w:rPr>
        <w:t>00人）</w:t>
      </w:r>
      <w:r>
        <w:rPr>
          <w:rFonts w:ascii="仿宋" w:hAnsi="仿宋" w:eastAsia="仿宋"/>
          <w:color w:val="000000"/>
          <w:sz w:val="30"/>
          <w:szCs w:val="30"/>
        </w:rPr>
        <w:t>，普通计划</w:t>
      </w:r>
      <w:r>
        <w:rPr>
          <w:rFonts w:hint="eastAsia" w:ascii="仿宋" w:hAnsi="仿宋" w:eastAsia="仿宋"/>
          <w:color w:val="000000"/>
          <w:sz w:val="30"/>
          <w:szCs w:val="30"/>
          <w:lang w:val="en-US" w:eastAsia="zh-CN"/>
        </w:rPr>
        <w:t>1634</w:t>
      </w:r>
      <w:r>
        <w:rPr>
          <w:rFonts w:hint="eastAsia" w:ascii="仿宋" w:hAnsi="仿宋" w:eastAsia="仿宋"/>
          <w:color w:val="000000"/>
          <w:sz w:val="30"/>
          <w:szCs w:val="30"/>
        </w:rPr>
        <w:t>人</w:t>
      </w:r>
      <w:r>
        <w:rPr>
          <w:rFonts w:hint="eastAsia" w:ascii="仿宋" w:hAnsi="仿宋" w:eastAsia="仿宋"/>
          <w:color w:val="000000"/>
          <w:sz w:val="30"/>
          <w:szCs w:val="30"/>
          <w:lang w:eastAsia="zh-CN"/>
        </w:rPr>
        <w:t>（较去年</w:t>
      </w:r>
      <w:r>
        <w:rPr>
          <w:rFonts w:hint="eastAsia" w:ascii="仿宋" w:hAnsi="仿宋" w:eastAsia="仿宋"/>
          <w:color w:val="000000"/>
          <w:sz w:val="30"/>
          <w:szCs w:val="30"/>
          <w:lang w:val="en-US" w:eastAsia="zh-CN"/>
        </w:rPr>
        <w:t>增加218</w:t>
      </w:r>
      <w:r>
        <w:rPr>
          <w:rFonts w:hint="eastAsia" w:ascii="仿宋" w:hAnsi="仿宋" w:eastAsia="仿宋"/>
          <w:color w:val="000000"/>
          <w:sz w:val="30"/>
          <w:szCs w:val="30"/>
          <w:lang w:eastAsia="zh-CN"/>
        </w:rPr>
        <w:t>人）</w:t>
      </w:r>
      <w:r>
        <w:rPr>
          <w:rFonts w:hint="eastAsia" w:ascii="仿宋" w:hAnsi="仿宋" w:eastAsia="仿宋"/>
          <w:color w:val="000000"/>
          <w:sz w:val="30"/>
          <w:szCs w:val="30"/>
        </w:rPr>
        <w:t>。普通计划</w:t>
      </w:r>
      <w:r>
        <w:rPr>
          <w:rFonts w:ascii="仿宋" w:hAnsi="仿宋" w:eastAsia="仿宋"/>
          <w:color w:val="000000"/>
          <w:sz w:val="30"/>
          <w:szCs w:val="30"/>
        </w:rPr>
        <w:t>中，省内</w:t>
      </w:r>
      <w:r>
        <w:rPr>
          <w:rFonts w:hint="eastAsia" w:ascii="仿宋" w:hAnsi="仿宋" w:eastAsia="仿宋"/>
          <w:color w:val="000000"/>
          <w:sz w:val="30"/>
          <w:szCs w:val="30"/>
        </w:rPr>
        <w:t>计划</w:t>
      </w:r>
      <w:r>
        <w:rPr>
          <w:rFonts w:ascii="仿宋" w:hAnsi="仿宋" w:eastAsia="仿宋"/>
          <w:color w:val="000000"/>
          <w:sz w:val="30"/>
          <w:szCs w:val="30"/>
        </w:rPr>
        <w:t>总数</w:t>
      </w:r>
      <w:r>
        <w:rPr>
          <w:rFonts w:hint="eastAsia" w:ascii="仿宋" w:hAnsi="仿宋" w:eastAsia="仿宋"/>
          <w:color w:val="000000"/>
          <w:sz w:val="30"/>
          <w:szCs w:val="30"/>
          <w:lang w:val="en-US" w:eastAsia="zh-CN"/>
        </w:rPr>
        <w:t>988</w:t>
      </w:r>
      <w:r>
        <w:rPr>
          <w:rFonts w:hint="eastAsia" w:ascii="仿宋" w:hAnsi="仿宋" w:eastAsia="仿宋"/>
          <w:color w:val="000000"/>
          <w:sz w:val="30"/>
          <w:szCs w:val="30"/>
        </w:rPr>
        <w:t>人，其中综合改革9</w:t>
      </w:r>
      <w:r>
        <w:rPr>
          <w:rFonts w:hint="eastAsia" w:ascii="仿宋" w:hAnsi="仿宋" w:eastAsia="仿宋"/>
          <w:color w:val="000000"/>
          <w:sz w:val="30"/>
          <w:szCs w:val="30"/>
          <w:lang w:val="en-US" w:eastAsia="zh-CN"/>
        </w:rPr>
        <w:t>48</w:t>
      </w:r>
      <w:r>
        <w:rPr>
          <w:rFonts w:hint="eastAsia" w:ascii="仿宋" w:hAnsi="仿宋" w:eastAsia="仿宋"/>
          <w:color w:val="000000"/>
          <w:sz w:val="30"/>
          <w:szCs w:val="30"/>
        </w:rPr>
        <w:t>人（含</w:t>
      </w:r>
      <w:r>
        <w:rPr>
          <w:rFonts w:ascii="仿宋" w:hAnsi="仿宋" w:eastAsia="仿宋"/>
          <w:color w:val="000000"/>
          <w:sz w:val="30"/>
          <w:szCs w:val="30"/>
        </w:rPr>
        <w:t>三位一体</w:t>
      </w:r>
      <w:r>
        <w:rPr>
          <w:rFonts w:hint="eastAsia" w:ascii="仿宋" w:hAnsi="仿宋" w:eastAsia="仿宋"/>
          <w:color w:val="000000"/>
          <w:sz w:val="30"/>
          <w:szCs w:val="30"/>
        </w:rPr>
        <w:t>60人），中职本科40人；</w:t>
      </w:r>
      <w:r>
        <w:rPr>
          <w:rFonts w:ascii="仿宋" w:hAnsi="仿宋" w:eastAsia="仿宋"/>
          <w:color w:val="000000"/>
          <w:sz w:val="30"/>
          <w:szCs w:val="30"/>
        </w:rPr>
        <w:t>出省计划</w:t>
      </w:r>
      <w:r>
        <w:rPr>
          <w:rFonts w:hint="eastAsia" w:ascii="仿宋" w:hAnsi="仿宋" w:eastAsia="仿宋"/>
          <w:color w:val="000000"/>
          <w:sz w:val="30"/>
          <w:szCs w:val="30"/>
        </w:rPr>
        <w:t>646人（文科146人，理科390人，综合改革110人）</w:t>
      </w:r>
      <w:r>
        <w:rPr>
          <w:rFonts w:ascii="仿宋" w:hAnsi="仿宋" w:eastAsia="仿宋"/>
          <w:color w:val="000000"/>
          <w:sz w:val="30"/>
          <w:szCs w:val="30"/>
        </w:rPr>
        <w:t>，</w:t>
      </w:r>
      <w:r>
        <w:rPr>
          <w:rFonts w:hint="eastAsia" w:ascii="仿宋" w:hAnsi="仿宋" w:eastAsia="仿宋"/>
          <w:color w:val="000000"/>
          <w:sz w:val="30"/>
          <w:szCs w:val="30"/>
        </w:rPr>
        <w:t>共</w:t>
      </w:r>
      <w:r>
        <w:rPr>
          <w:rFonts w:ascii="仿宋" w:hAnsi="仿宋" w:eastAsia="仿宋"/>
          <w:color w:val="000000"/>
          <w:sz w:val="30"/>
          <w:szCs w:val="30"/>
        </w:rPr>
        <w:t>涉及</w:t>
      </w:r>
      <w:r>
        <w:rPr>
          <w:rFonts w:hint="eastAsia" w:ascii="仿宋" w:hAnsi="仿宋" w:eastAsia="仿宋"/>
          <w:color w:val="000000"/>
          <w:sz w:val="30"/>
          <w:szCs w:val="30"/>
        </w:rPr>
        <w:t>2</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个</w:t>
      </w:r>
      <w:r>
        <w:rPr>
          <w:rFonts w:ascii="仿宋" w:hAnsi="仿宋" w:eastAsia="仿宋"/>
          <w:color w:val="000000"/>
          <w:sz w:val="30"/>
          <w:szCs w:val="30"/>
        </w:rPr>
        <w:t>省</w:t>
      </w:r>
      <w:r>
        <w:rPr>
          <w:rFonts w:hint="eastAsia" w:ascii="仿宋" w:hAnsi="仿宋" w:eastAsia="仿宋"/>
          <w:color w:val="000000"/>
          <w:sz w:val="30"/>
          <w:szCs w:val="30"/>
        </w:rPr>
        <w:t>（市</w:t>
      </w:r>
      <w:r>
        <w:rPr>
          <w:rFonts w:ascii="仿宋" w:hAnsi="仿宋" w:eastAsia="仿宋"/>
          <w:color w:val="000000"/>
          <w:sz w:val="30"/>
          <w:szCs w:val="30"/>
        </w:rPr>
        <w:t>、区</w:t>
      </w:r>
      <w:r>
        <w:rPr>
          <w:rFonts w:hint="eastAsia" w:ascii="仿宋" w:hAnsi="仿宋" w:eastAsia="仿宋"/>
          <w:color w:val="000000"/>
          <w:sz w:val="30"/>
          <w:szCs w:val="30"/>
        </w:rPr>
        <w:t>）</w:t>
      </w:r>
      <w:r>
        <w:rPr>
          <w:rFonts w:hint="eastAsia" w:ascii="仿宋" w:hAnsi="仿宋" w:eastAsia="仿宋"/>
          <w:color w:val="000000"/>
          <w:sz w:val="30"/>
          <w:szCs w:val="30"/>
          <w:lang w:eastAsia="zh-CN"/>
        </w:rPr>
        <w:t>。</w:t>
      </w:r>
    </w:p>
    <w:p>
      <w:pPr>
        <w:widowControl/>
        <w:shd w:val="clear" w:color="auto" w:fill="FFFFFF"/>
        <w:spacing w:line="560" w:lineRule="exact"/>
        <w:ind w:firstLine="480"/>
        <w:rPr>
          <w:rFonts w:hint="eastAsia" w:asciiTheme="minorHAnsi" w:hAnsiTheme="minorHAnsi" w:eastAsiaTheme="minorEastAsia" w:cstheme="minorBidi"/>
          <w:kern w:val="2"/>
          <w:sz w:val="21"/>
          <w:szCs w:val="22"/>
          <w:lang w:val="en-US" w:eastAsia="zh-CN" w:bidi="ar-SA"/>
        </w:rPr>
      </w:pPr>
      <w:r>
        <w:rPr>
          <w:rFonts w:hint="eastAsia" w:ascii="仿宋" w:hAnsi="仿宋" w:eastAsia="仿宋"/>
          <w:color w:val="000000"/>
          <w:sz w:val="30"/>
          <w:szCs w:val="30"/>
          <w:lang w:val="en-US" w:eastAsia="zh-CN"/>
        </w:rPr>
        <w:t>2019年</w:t>
      </w:r>
      <w:r>
        <w:rPr>
          <w:rFonts w:hint="eastAsia" w:ascii="仿宋" w:hAnsi="仿宋" w:eastAsia="仿宋"/>
          <w:color w:val="000000"/>
          <w:sz w:val="30"/>
          <w:szCs w:val="30"/>
        </w:rPr>
        <w:t>普通类最低专业投档分为5</w:t>
      </w:r>
      <w:r>
        <w:rPr>
          <w:rFonts w:hint="eastAsia" w:ascii="仿宋" w:hAnsi="仿宋" w:eastAsia="仿宋"/>
          <w:color w:val="000000"/>
          <w:sz w:val="30"/>
          <w:szCs w:val="30"/>
          <w:lang w:val="en-US" w:eastAsia="zh-CN"/>
        </w:rPr>
        <w:t>33</w:t>
      </w:r>
      <w:r>
        <w:rPr>
          <w:rFonts w:hint="eastAsia" w:ascii="仿宋" w:hAnsi="仿宋" w:eastAsia="仿宋"/>
          <w:color w:val="000000"/>
          <w:sz w:val="30"/>
          <w:szCs w:val="30"/>
        </w:rPr>
        <w:t>分（较去年提高</w:t>
      </w:r>
      <w:r>
        <w:rPr>
          <w:rFonts w:hint="eastAsia" w:ascii="仿宋" w:hAnsi="仿宋" w:eastAsia="仿宋"/>
          <w:color w:val="000000"/>
          <w:sz w:val="30"/>
          <w:szCs w:val="30"/>
          <w:lang w:val="en-US" w:eastAsia="zh-CN"/>
        </w:rPr>
        <w:t>8</w:t>
      </w:r>
      <w:r>
        <w:rPr>
          <w:rFonts w:hint="eastAsia" w:ascii="仿宋" w:hAnsi="仿宋" w:eastAsia="仿宋"/>
          <w:color w:val="000000"/>
          <w:sz w:val="30"/>
          <w:szCs w:val="30"/>
        </w:rPr>
        <w:t>分），超二段线3</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分，位次号提高</w:t>
      </w:r>
      <w:r>
        <w:rPr>
          <w:rFonts w:hint="eastAsia" w:ascii="仿宋" w:hAnsi="仿宋" w:eastAsia="仿宋"/>
          <w:color w:val="000000"/>
          <w:sz w:val="30"/>
          <w:szCs w:val="30"/>
          <w:lang w:val="en-US" w:eastAsia="zh-CN"/>
        </w:rPr>
        <w:t>259</w:t>
      </w:r>
      <w:r>
        <w:rPr>
          <w:rFonts w:hint="eastAsia" w:ascii="仿宋" w:hAnsi="仿宋" w:eastAsia="仿宋"/>
          <w:color w:val="000000"/>
          <w:sz w:val="30"/>
          <w:szCs w:val="30"/>
        </w:rPr>
        <w:t>余名（最低分位次号121</w:t>
      </w:r>
      <w:r>
        <w:rPr>
          <w:rFonts w:hint="eastAsia" w:ascii="仿宋" w:hAnsi="仿宋" w:eastAsia="仿宋"/>
          <w:color w:val="000000"/>
          <w:sz w:val="30"/>
          <w:szCs w:val="30"/>
          <w:lang w:val="en-US" w:eastAsia="zh-CN"/>
        </w:rPr>
        <w:t>064</w:t>
      </w:r>
      <w:r>
        <w:rPr>
          <w:rFonts w:hint="eastAsia" w:ascii="仿宋" w:hAnsi="仿宋" w:eastAsia="仿宋"/>
          <w:color w:val="000000"/>
          <w:sz w:val="30"/>
          <w:szCs w:val="30"/>
        </w:rPr>
        <w:t>）。其中，</w:t>
      </w:r>
      <w:r>
        <w:rPr>
          <w:rFonts w:hint="eastAsia" w:ascii="仿宋" w:hAnsi="仿宋" w:eastAsia="仿宋"/>
          <w:sz w:val="30"/>
          <w:szCs w:val="30"/>
        </w:rPr>
        <w:t>浙江普通类投档分最高的专业会计学（注册会计）投档分为5</w:t>
      </w:r>
      <w:r>
        <w:rPr>
          <w:rFonts w:hint="eastAsia" w:ascii="仿宋" w:hAnsi="仿宋" w:eastAsia="仿宋"/>
          <w:sz w:val="30"/>
          <w:szCs w:val="30"/>
          <w:lang w:val="en-US" w:eastAsia="zh-CN"/>
        </w:rPr>
        <w:t>51</w:t>
      </w:r>
      <w:r>
        <w:rPr>
          <w:rFonts w:hint="eastAsia" w:ascii="仿宋" w:hAnsi="仿宋" w:eastAsia="仿宋"/>
          <w:sz w:val="30"/>
          <w:szCs w:val="30"/>
        </w:rPr>
        <w:t>分，超二段线</w:t>
      </w:r>
      <w:r>
        <w:rPr>
          <w:rFonts w:hint="eastAsia" w:ascii="仿宋" w:hAnsi="仿宋" w:eastAsia="仿宋"/>
          <w:sz w:val="30"/>
          <w:szCs w:val="30"/>
          <w:lang w:val="en-US" w:eastAsia="zh-CN"/>
        </w:rPr>
        <w:t>55</w:t>
      </w:r>
      <w:r>
        <w:rPr>
          <w:rFonts w:hint="eastAsia" w:ascii="仿宋" w:hAnsi="仿宋" w:eastAsia="仿宋"/>
          <w:sz w:val="30"/>
          <w:szCs w:val="30"/>
        </w:rPr>
        <w:t>分，该专业最低分位次号为</w:t>
      </w:r>
      <w:r>
        <w:rPr>
          <w:rFonts w:hint="eastAsia" w:ascii="仿宋" w:hAnsi="仿宋" w:eastAsia="仿宋"/>
          <w:sz w:val="30"/>
          <w:szCs w:val="30"/>
          <w:lang w:val="en-US" w:eastAsia="zh-CN"/>
        </w:rPr>
        <w:t>101256</w:t>
      </w:r>
      <w:r>
        <w:rPr>
          <w:rFonts w:hint="eastAsia" w:ascii="仿宋" w:hAnsi="仿宋" w:eastAsia="仿宋"/>
          <w:color w:val="000000"/>
          <w:sz w:val="30"/>
          <w:szCs w:val="30"/>
        </w:rPr>
        <w:t>。</w:t>
      </w:r>
    </w:p>
    <w:p>
      <w:pPr>
        <w:snapToGrid w:val="0"/>
        <w:spacing w:line="560" w:lineRule="exact"/>
        <w:ind w:firstLine="600" w:firstLineChars="200"/>
        <w:rPr>
          <w:rFonts w:ascii="宋体" w:hAnsi="宋体"/>
          <w:kern w:val="0"/>
          <w:sz w:val="30"/>
          <w:szCs w:val="30"/>
        </w:rPr>
      </w:pPr>
      <w:r>
        <w:rPr>
          <w:rFonts w:hint="eastAsia" w:ascii="仿宋" w:hAnsi="仿宋" w:eastAsia="仿宋"/>
          <w:kern w:val="0"/>
          <w:sz w:val="30"/>
          <w:szCs w:val="30"/>
        </w:rPr>
        <w:t>学生在学习期间对其他专业有兴趣和专长的，可以申请转专业。</w:t>
      </w:r>
      <w:r>
        <w:rPr>
          <w:rFonts w:ascii="仿宋" w:hAnsi="仿宋" w:eastAsia="仿宋"/>
          <w:kern w:val="0"/>
          <w:sz w:val="30"/>
          <w:szCs w:val="30"/>
        </w:rPr>
        <w:t>参照往年有两次，一次是在新生入学军训期间；另外一次是在大一的第二学期；以往情况看，通过两次专业选择和</w:t>
      </w:r>
      <w:r>
        <w:rPr>
          <w:rFonts w:hint="eastAsia" w:ascii="仿宋" w:hAnsi="仿宋" w:eastAsia="仿宋"/>
          <w:kern w:val="0"/>
          <w:sz w:val="30"/>
          <w:szCs w:val="30"/>
        </w:rPr>
        <w:t>调整</w:t>
      </w:r>
      <w:r>
        <w:rPr>
          <w:rFonts w:ascii="仿宋" w:hAnsi="仿宋" w:eastAsia="仿宋"/>
          <w:kern w:val="0"/>
          <w:sz w:val="30"/>
          <w:szCs w:val="30"/>
        </w:rPr>
        <w:t>后，都基本满足了学生的需求。</w:t>
      </w:r>
      <w:r>
        <w:rPr>
          <w:rFonts w:hint="eastAsia" w:ascii="仿宋" w:hAnsi="仿宋" w:eastAsia="仿宋"/>
          <w:kern w:val="0"/>
          <w:sz w:val="30"/>
          <w:szCs w:val="30"/>
        </w:rPr>
        <w:t>据统计，近三年申请转专业平均成功率在95%以上。</w:t>
      </w:r>
    </w:p>
    <w:p>
      <w:pPr>
        <w:bidi w:val="0"/>
        <w:ind w:firstLine="618" w:firstLineChars="206"/>
        <w:jc w:val="left"/>
        <w:rPr>
          <w:rFonts w:hint="eastAsia" w:ascii="仿宋" w:hAnsi="仿宋" w:eastAsia="仿宋"/>
          <w:kern w:val="0"/>
          <w:sz w:val="30"/>
          <w:szCs w:val="30"/>
        </w:rPr>
      </w:pPr>
      <w:r>
        <w:rPr>
          <w:rFonts w:hint="eastAsia" w:ascii="仿宋" w:hAnsi="仿宋" w:eastAsia="仿宋"/>
          <w:kern w:val="0"/>
          <w:sz w:val="30"/>
          <w:szCs w:val="30"/>
        </w:rPr>
        <w:t>学院依托上海财经大学母体学校优质资源，每年暑假组织学生赴英国剑桥大学、美国东部常春藤大学参加暑期短期游学项目。并与香港金融管理学院合作，每年暑期遴选优秀学生赴香港参加暑期短学期访学项目。举办国际文化月等系列活动，开拓学生国</w:t>
      </w:r>
    </w:p>
    <w:p>
      <w:pPr>
        <w:snapToGrid w:val="0"/>
        <w:spacing w:line="560" w:lineRule="exact"/>
        <w:ind w:firstLine="600" w:firstLineChars="200"/>
        <w:rPr>
          <w:rFonts w:ascii="仿宋" w:hAnsi="仿宋" w:eastAsia="仿宋"/>
          <w:kern w:val="0"/>
          <w:sz w:val="30"/>
          <w:szCs w:val="30"/>
        </w:rPr>
      </w:pPr>
      <w:r>
        <w:rPr>
          <w:rFonts w:hint="eastAsia" w:ascii="仿宋" w:hAnsi="仿宋" w:eastAsia="仿宋"/>
          <w:sz w:val="30"/>
          <w:szCs w:val="30"/>
        </w:rPr>
        <w:t>学院毕业生</w:t>
      </w:r>
      <w:r>
        <w:rPr>
          <w:rFonts w:ascii="仿宋" w:hAnsi="仿宋" w:eastAsia="仿宋"/>
          <w:sz w:val="30"/>
          <w:szCs w:val="30"/>
        </w:rPr>
        <w:t>就业情况较好</w:t>
      </w:r>
      <w:r>
        <w:rPr>
          <w:rFonts w:hint="eastAsia" w:ascii="仿宋" w:hAnsi="仿宋" w:eastAsia="仿宋"/>
          <w:sz w:val="30"/>
          <w:szCs w:val="30"/>
        </w:rPr>
        <w:t>，学院初次就业率均在95%左右</w:t>
      </w:r>
      <w:r>
        <w:rPr>
          <w:rFonts w:hint="eastAsia" w:ascii="仿宋" w:hAnsi="仿宋" w:eastAsia="仿宋"/>
          <w:sz w:val="30"/>
          <w:szCs w:val="30"/>
          <w:lang w:val="en-US" w:eastAsia="zh-CN"/>
        </w:rPr>
        <w:t>,</w:t>
      </w:r>
      <w:r>
        <w:rPr>
          <w:rFonts w:hint="eastAsia" w:ascii="仿宋" w:hAnsi="仿宋" w:eastAsia="仿宋"/>
          <w:sz w:val="30"/>
          <w:szCs w:val="30"/>
        </w:rPr>
        <w:t>2015届毕业生毕业三年后就业率98 %，全省高校排名第6。</w:t>
      </w:r>
      <w:r>
        <w:rPr>
          <w:rFonts w:hint="eastAsia" w:ascii="仿宋" w:hAnsi="仿宋" w:eastAsia="仿宋"/>
          <w:kern w:val="0"/>
          <w:sz w:val="30"/>
          <w:szCs w:val="30"/>
        </w:rPr>
        <w:t>从毕业生行业流向看，金融业、商务服务业是我校毕业主要行业就业渠道。比如，金融类相关专业以银行、金融债券业为主，会计类专业以会计师事务所，审计类，政府机构，商务服务中介机构为主。从毕业生就业企业流向上来看，国有企业达到15%以上，中小型企业为就业主要渠道，事业单位和政府机构就业人数在2%-5%左右，创业，基层就业人数也在逐渐增多。</w:t>
      </w:r>
    </w:p>
    <w:p>
      <w:pPr>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90E9A"/>
    <w:rsid w:val="001E2697"/>
    <w:rsid w:val="002C3B2A"/>
    <w:rsid w:val="004E4011"/>
    <w:rsid w:val="005C5A0E"/>
    <w:rsid w:val="00676C1A"/>
    <w:rsid w:val="007B52AD"/>
    <w:rsid w:val="009444E6"/>
    <w:rsid w:val="009F031C"/>
    <w:rsid w:val="00BD655A"/>
    <w:rsid w:val="00CA27BB"/>
    <w:rsid w:val="01506553"/>
    <w:rsid w:val="016D61A9"/>
    <w:rsid w:val="017D21E2"/>
    <w:rsid w:val="01BB20CE"/>
    <w:rsid w:val="01D16EEA"/>
    <w:rsid w:val="025E2A17"/>
    <w:rsid w:val="02A947F9"/>
    <w:rsid w:val="03116DA5"/>
    <w:rsid w:val="031512E0"/>
    <w:rsid w:val="0370613D"/>
    <w:rsid w:val="038D3140"/>
    <w:rsid w:val="03D0607E"/>
    <w:rsid w:val="04BB5AEA"/>
    <w:rsid w:val="04BC70BE"/>
    <w:rsid w:val="04E12D80"/>
    <w:rsid w:val="052205C5"/>
    <w:rsid w:val="052A2059"/>
    <w:rsid w:val="05A941BE"/>
    <w:rsid w:val="05D449B0"/>
    <w:rsid w:val="05E11EA7"/>
    <w:rsid w:val="06064302"/>
    <w:rsid w:val="06216376"/>
    <w:rsid w:val="0632565A"/>
    <w:rsid w:val="06580F05"/>
    <w:rsid w:val="06625F80"/>
    <w:rsid w:val="06BC2D8E"/>
    <w:rsid w:val="06C40D0B"/>
    <w:rsid w:val="070009B6"/>
    <w:rsid w:val="071242F2"/>
    <w:rsid w:val="07357A69"/>
    <w:rsid w:val="0772782B"/>
    <w:rsid w:val="079019C7"/>
    <w:rsid w:val="07DE7321"/>
    <w:rsid w:val="081E0FC8"/>
    <w:rsid w:val="082F3ED1"/>
    <w:rsid w:val="088944A0"/>
    <w:rsid w:val="08F3127E"/>
    <w:rsid w:val="09B10CD0"/>
    <w:rsid w:val="09E47D21"/>
    <w:rsid w:val="09ED4B32"/>
    <w:rsid w:val="0AF34DF7"/>
    <w:rsid w:val="0AF72EE2"/>
    <w:rsid w:val="0B597E13"/>
    <w:rsid w:val="0B9F47DA"/>
    <w:rsid w:val="0BA16A92"/>
    <w:rsid w:val="0BE75F65"/>
    <w:rsid w:val="0BEE1BC4"/>
    <w:rsid w:val="0BEE4510"/>
    <w:rsid w:val="0C355BE3"/>
    <w:rsid w:val="0C4D1978"/>
    <w:rsid w:val="0C893613"/>
    <w:rsid w:val="0CC41947"/>
    <w:rsid w:val="0CDD50BE"/>
    <w:rsid w:val="0DC033E2"/>
    <w:rsid w:val="0E4C3436"/>
    <w:rsid w:val="0E7A7F5A"/>
    <w:rsid w:val="0EF60089"/>
    <w:rsid w:val="0F3F29BC"/>
    <w:rsid w:val="0F601385"/>
    <w:rsid w:val="0FA36547"/>
    <w:rsid w:val="0FFA3562"/>
    <w:rsid w:val="1024735F"/>
    <w:rsid w:val="102B7864"/>
    <w:rsid w:val="10C52086"/>
    <w:rsid w:val="10D17C54"/>
    <w:rsid w:val="11266CE6"/>
    <w:rsid w:val="1136130A"/>
    <w:rsid w:val="11962982"/>
    <w:rsid w:val="11D754FC"/>
    <w:rsid w:val="12016DFE"/>
    <w:rsid w:val="12336DE6"/>
    <w:rsid w:val="12344C6B"/>
    <w:rsid w:val="12370919"/>
    <w:rsid w:val="124B5E4B"/>
    <w:rsid w:val="12F456E5"/>
    <w:rsid w:val="13077111"/>
    <w:rsid w:val="135B7215"/>
    <w:rsid w:val="141E5D85"/>
    <w:rsid w:val="1433330D"/>
    <w:rsid w:val="143F1642"/>
    <w:rsid w:val="14444D1F"/>
    <w:rsid w:val="14540867"/>
    <w:rsid w:val="145D465D"/>
    <w:rsid w:val="14D652ED"/>
    <w:rsid w:val="14E564BB"/>
    <w:rsid w:val="153660DF"/>
    <w:rsid w:val="15423CDB"/>
    <w:rsid w:val="15591C1D"/>
    <w:rsid w:val="155D7841"/>
    <w:rsid w:val="158C698D"/>
    <w:rsid w:val="15B82D3C"/>
    <w:rsid w:val="163B4430"/>
    <w:rsid w:val="164A228B"/>
    <w:rsid w:val="166D4FCC"/>
    <w:rsid w:val="16731662"/>
    <w:rsid w:val="16922BCC"/>
    <w:rsid w:val="16BD66B2"/>
    <w:rsid w:val="171D58E6"/>
    <w:rsid w:val="17A30E04"/>
    <w:rsid w:val="17C41007"/>
    <w:rsid w:val="17F64153"/>
    <w:rsid w:val="18280313"/>
    <w:rsid w:val="18503CAD"/>
    <w:rsid w:val="18663A83"/>
    <w:rsid w:val="186A5C59"/>
    <w:rsid w:val="18A62B59"/>
    <w:rsid w:val="19725CFA"/>
    <w:rsid w:val="19AC11B9"/>
    <w:rsid w:val="19CC5EE9"/>
    <w:rsid w:val="19FD55F6"/>
    <w:rsid w:val="1A635B22"/>
    <w:rsid w:val="1A752143"/>
    <w:rsid w:val="1A7A799C"/>
    <w:rsid w:val="1A7F423D"/>
    <w:rsid w:val="1AE7555D"/>
    <w:rsid w:val="1AE949E3"/>
    <w:rsid w:val="1B0673D1"/>
    <w:rsid w:val="1B0924E2"/>
    <w:rsid w:val="1B286D5B"/>
    <w:rsid w:val="1B2E2D49"/>
    <w:rsid w:val="1B8579E8"/>
    <w:rsid w:val="1B9128E0"/>
    <w:rsid w:val="1B95487B"/>
    <w:rsid w:val="1BB56385"/>
    <w:rsid w:val="1BEE3806"/>
    <w:rsid w:val="1C3142E3"/>
    <w:rsid w:val="1CA36AC7"/>
    <w:rsid w:val="1CB137E2"/>
    <w:rsid w:val="1CC8752B"/>
    <w:rsid w:val="1CD00E42"/>
    <w:rsid w:val="1D406861"/>
    <w:rsid w:val="1D815C3C"/>
    <w:rsid w:val="1DB1690A"/>
    <w:rsid w:val="1DB26FBD"/>
    <w:rsid w:val="1E184206"/>
    <w:rsid w:val="1E4A3C63"/>
    <w:rsid w:val="1EDD022B"/>
    <w:rsid w:val="1EEC4F96"/>
    <w:rsid w:val="1F013B63"/>
    <w:rsid w:val="1F472A3B"/>
    <w:rsid w:val="1F4A2BD2"/>
    <w:rsid w:val="1FD809CF"/>
    <w:rsid w:val="1FE911ED"/>
    <w:rsid w:val="20104AC7"/>
    <w:rsid w:val="207B733C"/>
    <w:rsid w:val="208E2073"/>
    <w:rsid w:val="210940F2"/>
    <w:rsid w:val="217A1213"/>
    <w:rsid w:val="218B2425"/>
    <w:rsid w:val="21BB76E9"/>
    <w:rsid w:val="21D617C9"/>
    <w:rsid w:val="21ED07AE"/>
    <w:rsid w:val="21F329D7"/>
    <w:rsid w:val="21FF7972"/>
    <w:rsid w:val="22237D2D"/>
    <w:rsid w:val="22E94214"/>
    <w:rsid w:val="230D1180"/>
    <w:rsid w:val="23382FE0"/>
    <w:rsid w:val="2381278E"/>
    <w:rsid w:val="238C29F9"/>
    <w:rsid w:val="23CE01F8"/>
    <w:rsid w:val="24162DD0"/>
    <w:rsid w:val="24201BF6"/>
    <w:rsid w:val="24755F20"/>
    <w:rsid w:val="24814626"/>
    <w:rsid w:val="248A2493"/>
    <w:rsid w:val="249A1BC1"/>
    <w:rsid w:val="24E348D7"/>
    <w:rsid w:val="24F46C03"/>
    <w:rsid w:val="25090E17"/>
    <w:rsid w:val="25123B7D"/>
    <w:rsid w:val="255823BB"/>
    <w:rsid w:val="25C3068C"/>
    <w:rsid w:val="26FF51D5"/>
    <w:rsid w:val="27196508"/>
    <w:rsid w:val="272967BC"/>
    <w:rsid w:val="27734571"/>
    <w:rsid w:val="28341C9C"/>
    <w:rsid w:val="28706186"/>
    <w:rsid w:val="28D51A49"/>
    <w:rsid w:val="29457E17"/>
    <w:rsid w:val="29820603"/>
    <w:rsid w:val="29C37D8A"/>
    <w:rsid w:val="2ABE02F4"/>
    <w:rsid w:val="2B151B39"/>
    <w:rsid w:val="2B272143"/>
    <w:rsid w:val="2B980979"/>
    <w:rsid w:val="2BAA3B45"/>
    <w:rsid w:val="2BF11A64"/>
    <w:rsid w:val="2C405CDC"/>
    <w:rsid w:val="2C5D5FBF"/>
    <w:rsid w:val="2C750073"/>
    <w:rsid w:val="2C7F37C3"/>
    <w:rsid w:val="2CC073E2"/>
    <w:rsid w:val="2CEA6EA9"/>
    <w:rsid w:val="2D0B530B"/>
    <w:rsid w:val="2D7349B6"/>
    <w:rsid w:val="2DC022F7"/>
    <w:rsid w:val="2DD576D5"/>
    <w:rsid w:val="2E01038E"/>
    <w:rsid w:val="2E2567EE"/>
    <w:rsid w:val="2E67627E"/>
    <w:rsid w:val="2EBE722F"/>
    <w:rsid w:val="2EDA6836"/>
    <w:rsid w:val="2EED0995"/>
    <w:rsid w:val="2EF228D4"/>
    <w:rsid w:val="2EF47CC6"/>
    <w:rsid w:val="2F1A1993"/>
    <w:rsid w:val="2F61414C"/>
    <w:rsid w:val="2FC928D8"/>
    <w:rsid w:val="307207AF"/>
    <w:rsid w:val="31AD266F"/>
    <w:rsid w:val="321D7CD8"/>
    <w:rsid w:val="32923C58"/>
    <w:rsid w:val="32C13BEC"/>
    <w:rsid w:val="32CD1629"/>
    <w:rsid w:val="32F33F00"/>
    <w:rsid w:val="32FB1323"/>
    <w:rsid w:val="33235510"/>
    <w:rsid w:val="33A51753"/>
    <w:rsid w:val="33BE5CCA"/>
    <w:rsid w:val="33C2545D"/>
    <w:rsid w:val="340059F0"/>
    <w:rsid w:val="340B1280"/>
    <w:rsid w:val="341705AE"/>
    <w:rsid w:val="34293695"/>
    <w:rsid w:val="342D4049"/>
    <w:rsid w:val="343323A7"/>
    <w:rsid w:val="34530D6F"/>
    <w:rsid w:val="34921EE3"/>
    <w:rsid w:val="34BC0AB1"/>
    <w:rsid w:val="34BF6C59"/>
    <w:rsid w:val="35236D63"/>
    <w:rsid w:val="356B01E3"/>
    <w:rsid w:val="356C4236"/>
    <w:rsid w:val="35C67A66"/>
    <w:rsid w:val="35FD45AA"/>
    <w:rsid w:val="36106903"/>
    <w:rsid w:val="36210D4F"/>
    <w:rsid w:val="362122D7"/>
    <w:rsid w:val="36592E32"/>
    <w:rsid w:val="365E54C1"/>
    <w:rsid w:val="36644647"/>
    <w:rsid w:val="36785008"/>
    <w:rsid w:val="36866140"/>
    <w:rsid w:val="3705078A"/>
    <w:rsid w:val="3729493A"/>
    <w:rsid w:val="372F469E"/>
    <w:rsid w:val="37456FB5"/>
    <w:rsid w:val="378634BD"/>
    <w:rsid w:val="37931130"/>
    <w:rsid w:val="37E736EE"/>
    <w:rsid w:val="380E743B"/>
    <w:rsid w:val="38291327"/>
    <w:rsid w:val="386C3F3A"/>
    <w:rsid w:val="38B86FF7"/>
    <w:rsid w:val="38BF78BF"/>
    <w:rsid w:val="38FD3259"/>
    <w:rsid w:val="390C6052"/>
    <w:rsid w:val="39400974"/>
    <w:rsid w:val="39663527"/>
    <w:rsid w:val="39A16211"/>
    <w:rsid w:val="39C05BF5"/>
    <w:rsid w:val="3AA90F28"/>
    <w:rsid w:val="3B214AB3"/>
    <w:rsid w:val="3B6D6F1E"/>
    <w:rsid w:val="3B986AF6"/>
    <w:rsid w:val="3B9E0941"/>
    <w:rsid w:val="3C1A7168"/>
    <w:rsid w:val="3C353607"/>
    <w:rsid w:val="3C42694E"/>
    <w:rsid w:val="3C911070"/>
    <w:rsid w:val="3CDD68DC"/>
    <w:rsid w:val="3D353603"/>
    <w:rsid w:val="3D6A57A1"/>
    <w:rsid w:val="3DB31AFC"/>
    <w:rsid w:val="3DC81C29"/>
    <w:rsid w:val="3DE8227A"/>
    <w:rsid w:val="3E123182"/>
    <w:rsid w:val="3E4A0D71"/>
    <w:rsid w:val="3E5D2C78"/>
    <w:rsid w:val="3EFF5454"/>
    <w:rsid w:val="3F2C06E4"/>
    <w:rsid w:val="40007FB2"/>
    <w:rsid w:val="40040C04"/>
    <w:rsid w:val="40334947"/>
    <w:rsid w:val="4059356E"/>
    <w:rsid w:val="40677659"/>
    <w:rsid w:val="4087267E"/>
    <w:rsid w:val="40AD1C10"/>
    <w:rsid w:val="40EB7B55"/>
    <w:rsid w:val="41A717B8"/>
    <w:rsid w:val="4241201C"/>
    <w:rsid w:val="4242653C"/>
    <w:rsid w:val="424449A6"/>
    <w:rsid w:val="42752FA5"/>
    <w:rsid w:val="42AD0009"/>
    <w:rsid w:val="438E46CA"/>
    <w:rsid w:val="43D94087"/>
    <w:rsid w:val="43E369D9"/>
    <w:rsid w:val="44546AD4"/>
    <w:rsid w:val="44DF2F24"/>
    <w:rsid w:val="45345B6F"/>
    <w:rsid w:val="45722351"/>
    <w:rsid w:val="45AD4CA8"/>
    <w:rsid w:val="466942A6"/>
    <w:rsid w:val="46C8457C"/>
    <w:rsid w:val="46CF09A2"/>
    <w:rsid w:val="47102F49"/>
    <w:rsid w:val="471D28D5"/>
    <w:rsid w:val="471F2EB3"/>
    <w:rsid w:val="4720397A"/>
    <w:rsid w:val="47374DE2"/>
    <w:rsid w:val="47A12614"/>
    <w:rsid w:val="47A179D3"/>
    <w:rsid w:val="47E902F7"/>
    <w:rsid w:val="480631ED"/>
    <w:rsid w:val="48313FE2"/>
    <w:rsid w:val="4832369E"/>
    <w:rsid w:val="48643851"/>
    <w:rsid w:val="487C5D73"/>
    <w:rsid w:val="489A09BE"/>
    <w:rsid w:val="48A45C87"/>
    <w:rsid w:val="48C636B5"/>
    <w:rsid w:val="490454A3"/>
    <w:rsid w:val="491A44B4"/>
    <w:rsid w:val="4927783A"/>
    <w:rsid w:val="49285545"/>
    <w:rsid w:val="493A240E"/>
    <w:rsid w:val="49ED3AAF"/>
    <w:rsid w:val="4A0B6C4B"/>
    <w:rsid w:val="4AC836CF"/>
    <w:rsid w:val="4AE26129"/>
    <w:rsid w:val="4AE66048"/>
    <w:rsid w:val="4AE725E9"/>
    <w:rsid w:val="4AE81289"/>
    <w:rsid w:val="4B28782C"/>
    <w:rsid w:val="4B9C72D7"/>
    <w:rsid w:val="4BB6592E"/>
    <w:rsid w:val="4BCF26D8"/>
    <w:rsid w:val="4BD60E78"/>
    <w:rsid w:val="4BF228D1"/>
    <w:rsid w:val="4C0546A4"/>
    <w:rsid w:val="4CD46344"/>
    <w:rsid w:val="4D0A326B"/>
    <w:rsid w:val="4D29698F"/>
    <w:rsid w:val="4D4F66AA"/>
    <w:rsid w:val="4D8A02AF"/>
    <w:rsid w:val="4DC94D48"/>
    <w:rsid w:val="4E0D41EF"/>
    <w:rsid w:val="4E190A86"/>
    <w:rsid w:val="4E264F5E"/>
    <w:rsid w:val="4E543EC0"/>
    <w:rsid w:val="4EB02405"/>
    <w:rsid w:val="4F0A0B8D"/>
    <w:rsid w:val="4FC958F2"/>
    <w:rsid w:val="4FF100D1"/>
    <w:rsid w:val="4FFD4D4F"/>
    <w:rsid w:val="500A0DE9"/>
    <w:rsid w:val="50361AB9"/>
    <w:rsid w:val="506957A0"/>
    <w:rsid w:val="50735E6E"/>
    <w:rsid w:val="50770337"/>
    <w:rsid w:val="50F26544"/>
    <w:rsid w:val="51030621"/>
    <w:rsid w:val="51310324"/>
    <w:rsid w:val="515A7C7D"/>
    <w:rsid w:val="51767710"/>
    <w:rsid w:val="51782203"/>
    <w:rsid w:val="51802529"/>
    <w:rsid w:val="528A5BCE"/>
    <w:rsid w:val="52A93365"/>
    <w:rsid w:val="52AB5851"/>
    <w:rsid w:val="52E17DBB"/>
    <w:rsid w:val="53286116"/>
    <w:rsid w:val="53867B0D"/>
    <w:rsid w:val="53BD6C62"/>
    <w:rsid w:val="549E77E0"/>
    <w:rsid w:val="54AC0DE7"/>
    <w:rsid w:val="54B11AC5"/>
    <w:rsid w:val="54B238E2"/>
    <w:rsid w:val="54B835FB"/>
    <w:rsid w:val="54D76F8B"/>
    <w:rsid w:val="54FD441F"/>
    <w:rsid w:val="550E4878"/>
    <w:rsid w:val="55353A68"/>
    <w:rsid w:val="554A0CBF"/>
    <w:rsid w:val="556717F7"/>
    <w:rsid w:val="55C4722F"/>
    <w:rsid w:val="56C17456"/>
    <w:rsid w:val="572D4E90"/>
    <w:rsid w:val="58357B02"/>
    <w:rsid w:val="5848057B"/>
    <w:rsid w:val="585C4C49"/>
    <w:rsid w:val="586245D1"/>
    <w:rsid w:val="587127D3"/>
    <w:rsid w:val="588D4671"/>
    <w:rsid w:val="59BE0A93"/>
    <w:rsid w:val="59CB066D"/>
    <w:rsid w:val="5A10582A"/>
    <w:rsid w:val="5A40282B"/>
    <w:rsid w:val="5A5737C9"/>
    <w:rsid w:val="5A6E4848"/>
    <w:rsid w:val="5A70218A"/>
    <w:rsid w:val="5AFF42FA"/>
    <w:rsid w:val="5B4E0843"/>
    <w:rsid w:val="5B786186"/>
    <w:rsid w:val="5B9F4412"/>
    <w:rsid w:val="5BB903A9"/>
    <w:rsid w:val="5C1E0F2E"/>
    <w:rsid w:val="5C59387E"/>
    <w:rsid w:val="5C672CA8"/>
    <w:rsid w:val="5C80027F"/>
    <w:rsid w:val="5CDF6489"/>
    <w:rsid w:val="5CF1450E"/>
    <w:rsid w:val="5D0D6568"/>
    <w:rsid w:val="5D632D77"/>
    <w:rsid w:val="5D712070"/>
    <w:rsid w:val="5D7E0B24"/>
    <w:rsid w:val="5DDC7328"/>
    <w:rsid w:val="5DDD2726"/>
    <w:rsid w:val="5E0E7A2E"/>
    <w:rsid w:val="5E7658F7"/>
    <w:rsid w:val="5E8A1991"/>
    <w:rsid w:val="5E9B32AD"/>
    <w:rsid w:val="5F240742"/>
    <w:rsid w:val="5F266439"/>
    <w:rsid w:val="5F3F28B2"/>
    <w:rsid w:val="5F80236C"/>
    <w:rsid w:val="5F920BE8"/>
    <w:rsid w:val="5FA35EB6"/>
    <w:rsid w:val="5FA669F3"/>
    <w:rsid w:val="5FF62BDB"/>
    <w:rsid w:val="60085799"/>
    <w:rsid w:val="600E74A2"/>
    <w:rsid w:val="604E6559"/>
    <w:rsid w:val="606233C4"/>
    <w:rsid w:val="60793521"/>
    <w:rsid w:val="60857613"/>
    <w:rsid w:val="609B5D7B"/>
    <w:rsid w:val="60AC0EC7"/>
    <w:rsid w:val="60D45D78"/>
    <w:rsid w:val="611217E7"/>
    <w:rsid w:val="611B6FFD"/>
    <w:rsid w:val="611D4176"/>
    <w:rsid w:val="613F6484"/>
    <w:rsid w:val="61FE7542"/>
    <w:rsid w:val="624D0049"/>
    <w:rsid w:val="62A77A7C"/>
    <w:rsid w:val="62A8396B"/>
    <w:rsid w:val="62C71D71"/>
    <w:rsid w:val="62D537EC"/>
    <w:rsid w:val="62F61EE0"/>
    <w:rsid w:val="63480472"/>
    <w:rsid w:val="6369762B"/>
    <w:rsid w:val="63697BF5"/>
    <w:rsid w:val="63CC0A2B"/>
    <w:rsid w:val="64297666"/>
    <w:rsid w:val="64366AC4"/>
    <w:rsid w:val="646A6306"/>
    <w:rsid w:val="648F297C"/>
    <w:rsid w:val="64B577A6"/>
    <w:rsid w:val="65241D36"/>
    <w:rsid w:val="652776DC"/>
    <w:rsid w:val="65D5763F"/>
    <w:rsid w:val="65F0692E"/>
    <w:rsid w:val="65F76985"/>
    <w:rsid w:val="65FF1075"/>
    <w:rsid w:val="661357DA"/>
    <w:rsid w:val="662A7CFE"/>
    <w:rsid w:val="6635276F"/>
    <w:rsid w:val="66833BE4"/>
    <w:rsid w:val="66907BEC"/>
    <w:rsid w:val="66A95BA1"/>
    <w:rsid w:val="66C86AE1"/>
    <w:rsid w:val="66D434E2"/>
    <w:rsid w:val="66DB0024"/>
    <w:rsid w:val="670A12C6"/>
    <w:rsid w:val="67202B4A"/>
    <w:rsid w:val="6731467E"/>
    <w:rsid w:val="67867E15"/>
    <w:rsid w:val="67CA1348"/>
    <w:rsid w:val="681D160B"/>
    <w:rsid w:val="68453869"/>
    <w:rsid w:val="685059AB"/>
    <w:rsid w:val="68B03E7C"/>
    <w:rsid w:val="68C4044C"/>
    <w:rsid w:val="6913485D"/>
    <w:rsid w:val="695E6A97"/>
    <w:rsid w:val="69764D6C"/>
    <w:rsid w:val="69D2323C"/>
    <w:rsid w:val="69F62CC6"/>
    <w:rsid w:val="6A3473D3"/>
    <w:rsid w:val="6A6116CA"/>
    <w:rsid w:val="6A6D774B"/>
    <w:rsid w:val="6A8F3319"/>
    <w:rsid w:val="6AC730C5"/>
    <w:rsid w:val="6B07049A"/>
    <w:rsid w:val="6B796D1B"/>
    <w:rsid w:val="6B7A4DD8"/>
    <w:rsid w:val="6CD21422"/>
    <w:rsid w:val="6D240531"/>
    <w:rsid w:val="6D4D162F"/>
    <w:rsid w:val="6D4F1843"/>
    <w:rsid w:val="6DCF594C"/>
    <w:rsid w:val="6E24399B"/>
    <w:rsid w:val="6E282021"/>
    <w:rsid w:val="6E2C4E6B"/>
    <w:rsid w:val="6E2F1404"/>
    <w:rsid w:val="6E38550D"/>
    <w:rsid w:val="6E40777A"/>
    <w:rsid w:val="6E8F00B6"/>
    <w:rsid w:val="6E983710"/>
    <w:rsid w:val="6EA82016"/>
    <w:rsid w:val="6F081FA2"/>
    <w:rsid w:val="6F490721"/>
    <w:rsid w:val="6F4E3D42"/>
    <w:rsid w:val="6F5D0CEA"/>
    <w:rsid w:val="6F794726"/>
    <w:rsid w:val="6F92038D"/>
    <w:rsid w:val="6FC85FEB"/>
    <w:rsid w:val="6FE96764"/>
    <w:rsid w:val="6FFF4BAB"/>
    <w:rsid w:val="70A26003"/>
    <w:rsid w:val="70DA3D3E"/>
    <w:rsid w:val="70E82ABB"/>
    <w:rsid w:val="711D7D6D"/>
    <w:rsid w:val="713B3ADC"/>
    <w:rsid w:val="720E3556"/>
    <w:rsid w:val="72163A40"/>
    <w:rsid w:val="72274063"/>
    <w:rsid w:val="72EA33B1"/>
    <w:rsid w:val="72F52B00"/>
    <w:rsid w:val="73233917"/>
    <w:rsid w:val="73271DD8"/>
    <w:rsid w:val="73647238"/>
    <w:rsid w:val="73903B26"/>
    <w:rsid w:val="73CD0B9B"/>
    <w:rsid w:val="747216BD"/>
    <w:rsid w:val="74942AFB"/>
    <w:rsid w:val="74A900F2"/>
    <w:rsid w:val="74C14589"/>
    <w:rsid w:val="75A75811"/>
    <w:rsid w:val="75D3379C"/>
    <w:rsid w:val="760D45E4"/>
    <w:rsid w:val="762E08DB"/>
    <w:rsid w:val="76330321"/>
    <w:rsid w:val="76664DDD"/>
    <w:rsid w:val="76C00B6B"/>
    <w:rsid w:val="7706661C"/>
    <w:rsid w:val="77520FCF"/>
    <w:rsid w:val="777304D1"/>
    <w:rsid w:val="77B568B2"/>
    <w:rsid w:val="783C4046"/>
    <w:rsid w:val="78543DB4"/>
    <w:rsid w:val="78671984"/>
    <w:rsid w:val="78A22FD2"/>
    <w:rsid w:val="78B402C8"/>
    <w:rsid w:val="78E20FD0"/>
    <w:rsid w:val="79013CBF"/>
    <w:rsid w:val="79284AB1"/>
    <w:rsid w:val="792904F6"/>
    <w:rsid w:val="797A71C0"/>
    <w:rsid w:val="79976755"/>
    <w:rsid w:val="79B20F62"/>
    <w:rsid w:val="79B825EC"/>
    <w:rsid w:val="79E07600"/>
    <w:rsid w:val="79E12636"/>
    <w:rsid w:val="79E4475E"/>
    <w:rsid w:val="7A0379EF"/>
    <w:rsid w:val="7A1D0E99"/>
    <w:rsid w:val="7A215DCE"/>
    <w:rsid w:val="7A353DA8"/>
    <w:rsid w:val="7A5518E5"/>
    <w:rsid w:val="7A590E9A"/>
    <w:rsid w:val="7A666C2C"/>
    <w:rsid w:val="7A783184"/>
    <w:rsid w:val="7A8210FE"/>
    <w:rsid w:val="7AE743A5"/>
    <w:rsid w:val="7B4C194D"/>
    <w:rsid w:val="7B4D6420"/>
    <w:rsid w:val="7BF1464C"/>
    <w:rsid w:val="7BF64186"/>
    <w:rsid w:val="7C360DC8"/>
    <w:rsid w:val="7C3911C5"/>
    <w:rsid w:val="7C98383A"/>
    <w:rsid w:val="7D1046E0"/>
    <w:rsid w:val="7D174F59"/>
    <w:rsid w:val="7D2E2E40"/>
    <w:rsid w:val="7D3D7A65"/>
    <w:rsid w:val="7F1A684B"/>
    <w:rsid w:val="7F4837CB"/>
    <w:rsid w:val="7F681412"/>
    <w:rsid w:val="7F6A3388"/>
    <w:rsid w:val="7F6B126F"/>
    <w:rsid w:val="7FC15359"/>
    <w:rsid w:val="7FF1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563C1" w:themeColor="hyperlink"/>
      <w:u w:val="single"/>
      <w14:textFill>
        <w14:solidFill>
          <w14:schemeClr w14:val="hlink"/>
        </w14:solidFill>
      </w14:textFill>
    </w:rPr>
  </w:style>
  <w:style w:type="paragraph" w:styleId="8">
    <w:name w:val="List Paragraph"/>
    <w:basedOn w:val="1"/>
    <w:unhideWhenUsed/>
    <w:qFormat/>
    <w:uiPriority w:val="99"/>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1152</Characters>
  <Lines>9</Lines>
  <Paragraphs>2</Paragraphs>
  <TotalTime>36</TotalTime>
  <ScaleCrop>false</ScaleCrop>
  <LinksUpToDate>false</LinksUpToDate>
  <CharactersWithSpaces>1352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2019-11-27T08:24:00Z</dcterms:created>
  <dc:creator>李杰</dc:creator>
  <cp:lastModifiedBy>静默  凝</cp:lastModifiedBy>
  <dcterms:modified xsi:type="dcterms:W3CDTF">2019-12-05T01:21:30Z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